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5C6186">
        <w:rPr>
          <w:rFonts w:asciiTheme="majorHAnsi" w:hAnsiTheme="majorHAnsi" w:cs="Times New Roman"/>
          <w:lang w:val="sr-Cyrl-CS"/>
        </w:rPr>
        <w:t>__________</w:t>
      </w:r>
      <w:r w:rsidR="00C567FC" w:rsidRPr="00B64815">
        <w:rPr>
          <w:rFonts w:asciiTheme="majorHAnsi" w:hAnsiTheme="majorHAnsi" w:cs="Times New Roman"/>
          <w:lang w:val="sr-Cyrl-CS"/>
        </w:rPr>
        <w:t>/2</w:t>
      </w:r>
      <w:r w:rsidR="00AB52CE">
        <w:rPr>
          <w:rFonts w:asciiTheme="majorHAnsi" w:hAnsiTheme="majorHAnsi" w:cs="Times New Roman"/>
          <w:lang w:val="sr-Cyrl-CS"/>
        </w:rPr>
        <w:t>1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AB52CE">
        <w:rPr>
          <w:rFonts w:asciiTheme="majorHAnsi" w:hAnsiTheme="majorHAnsi" w:cs="Times New Roman"/>
          <w:lang w:val="sr-Cyrl-CS"/>
        </w:rPr>
        <w:t>12.07.2021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На основу члана </w:t>
      </w:r>
      <w:r w:rsidR="00734FD7">
        <w:rPr>
          <w:rFonts w:asciiTheme="majorHAnsi" w:hAnsiTheme="majorHAnsi" w:cs="Times New Roman"/>
        </w:rPr>
        <w:t>27</w:t>
      </w:r>
      <w:r w:rsidRPr="00B64815">
        <w:rPr>
          <w:rFonts w:asciiTheme="majorHAnsi" w:hAnsiTheme="majorHAnsi" w:cs="Times New Roman"/>
          <w:lang w:val="sr-Cyrl-CS"/>
        </w:rPr>
        <w:t xml:space="preserve">. став </w:t>
      </w:r>
      <w:r w:rsidR="00734FD7">
        <w:rPr>
          <w:rFonts w:asciiTheme="majorHAnsi" w:hAnsiTheme="majorHAnsi" w:cs="Times New Roman"/>
        </w:rPr>
        <w:t>1</w:t>
      </w:r>
      <w:r w:rsidRPr="00B64815">
        <w:rPr>
          <w:rFonts w:asciiTheme="majorHAnsi" w:hAnsiTheme="majorHAnsi" w:cs="Times New Roman"/>
          <w:lang w:val="sr-Cyrl-CS"/>
        </w:rPr>
        <w:t xml:space="preserve">. Закона о јавним набавкама („Службени гласник РС“ бр. </w:t>
      </w:r>
      <w:r w:rsidR="00734FD7">
        <w:rPr>
          <w:rFonts w:asciiTheme="majorHAnsi" w:hAnsiTheme="majorHAnsi" w:cs="Times New Roman"/>
        </w:rPr>
        <w:t>91/2019</w:t>
      </w:r>
      <w:r w:rsidRPr="00B64815">
        <w:rPr>
          <w:rFonts w:asciiTheme="majorHAnsi" w:hAnsiTheme="majorHAnsi" w:cs="Times New Roman"/>
          <w:lang w:val="sr-Cyrl-CS"/>
        </w:rPr>
        <w:t>) и Налога за покретање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5C6186">
        <w:rPr>
          <w:rFonts w:asciiTheme="majorHAnsi" w:hAnsiTheme="majorHAnsi" w:cs="Times New Roman"/>
          <w:lang w:val="sr-Cyrl-CS"/>
        </w:rPr>
        <w:t>____________</w:t>
      </w:r>
      <w:r w:rsidR="003B1AE9" w:rsidRPr="00B64815">
        <w:rPr>
          <w:rFonts w:asciiTheme="majorHAnsi" w:hAnsiTheme="majorHAnsi" w:cs="Times New Roman"/>
          <w:lang w:val="sr-Cyrl-CS"/>
        </w:rPr>
        <w:t>,</w:t>
      </w:r>
      <w:r w:rsidR="001B230F" w:rsidRPr="00B64815">
        <w:rPr>
          <w:rFonts w:asciiTheme="majorHAnsi" w:hAnsiTheme="majorHAnsi" w:cs="Times New Roman"/>
          <w:lang w:val="sr-Cyrl-CS"/>
        </w:rPr>
        <w:t xml:space="preserve">                      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665CE5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  <w:r w:rsidR="00665CE5">
        <w:rPr>
          <w:rFonts w:asciiTheme="majorHAnsi" w:hAnsiTheme="majorHAnsi" w:cs="Times New Roman"/>
          <w:lang w:val="sr-Cyrl-CS"/>
        </w:rPr>
        <w:t xml:space="preserve"> РАДОВА </w:t>
      </w:r>
    </w:p>
    <w:p w:rsidR="0039275A" w:rsidRPr="00B64815" w:rsidRDefault="00665CE5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>
        <w:rPr>
          <w:rFonts w:asciiTheme="majorHAnsi" w:hAnsiTheme="majorHAnsi" w:cs="Times New Roman"/>
          <w:lang w:val="sr-Cyrl-CS"/>
        </w:rPr>
        <w:t>НА КРЕЧЕЊУ УНУТРАШЊИХ ЗИДОВА УСТАНОВЕ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5C6186" w:rsidRDefault="00FE3E95" w:rsidP="005C6186">
      <w:pPr>
        <w:jc w:val="both"/>
        <w:rPr>
          <w:rFonts w:asciiTheme="majorHAnsi" w:hAnsiTheme="majorHAnsi" w:cs="Arial"/>
          <w:iCs/>
        </w:rPr>
      </w:pPr>
      <w:proofErr w:type="spellStart"/>
      <w:proofErr w:type="gram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од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__________________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набавку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  <w:r w:rsidRPr="00B64815">
        <w:rPr>
          <w:rFonts w:asciiTheme="majorHAnsi" w:hAnsiTheme="majorHAnsi" w:cs="Arial"/>
          <w:iCs/>
        </w:rPr>
        <w:t xml:space="preserve"> </w:t>
      </w:r>
      <w:r w:rsidR="00665CE5">
        <w:rPr>
          <w:rFonts w:asciiTheme="majorHAnsi" w:hAnsiTheme="majorHAnsi" w:cs="Arial"/>
          <w:iCs/>
        </w:rPr>
        <w:t xml:space="preserve">радова на кречењу унутрашњих </w:t>
      </w:r>
      <w:proofErr w:type="spellStart"/>
      <w:r w:rsidR="00665CE5">
        <w:rPr>
          <w:rFonts w:asciiTheme="majorHAnsi" w:hAnsiTheme="majorHAnsi" w:cs="Arial"/>
          <w:iCs/>
        </w:rPr>
        <w:t>зидова</w:t>
      </w:r>
      <w:proofErr w:type="spellEnd"/>
      <w:r w:rsidR="00851FCD">
        <w:rPr>
          <w:rFonts w:asciiTheme="majorHAnsi" w:hAnsiTheme="majorHAnsi" w:cs="Arial"/>
          <w:iCs/>
        </w:rPr>
        <w:t xml:space="preserve"> </w:t>
      </w:r>
      <w:proofErr w:type="spellStart"/>
      <w:r w:rsidR="00851FCD">
        <w:rPr>
          <w:rFonts w:asciiTheme="majorHAnsi" w:hAnsiTheme="majorHAnsi" w:cs="Arial"/>
          <w:iCs/>
        </w:rPr>
        <w:t>Установе</w:t>
      </w:r>
      <w:proofErr w:type="spellEnd"/>
      <w:r w:rsidR="00665CE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851FCD">
        <w:rPr>
          <w:rFonts w:asciiTheme="majorHAnsi" w:hAnsiTheme="majorHAnsi" w:cs="Arial"/>
          <w:iCs/>
        </w:rPr>
        <w:t>Р-3/2021 (43/2021)</w:t>
      </w:r>
      <w:r w:rsidR="005C6186">
        <w:rPr>
          <w:rFonts w:asciiTheme="majorHAnsi" w:hAnsiTheme="majorHAnsi" w:cs="Arial"/>
          <w:iCs/>
        </w:rPr>
        <w:t xml:space="preserve"> </w:t>
      </w:r>
    </w:p>
    <w:p w:rsidR="00FE3E95" w:rsidRPr="00B64815" w:rsidRDefault="00FE3E95" w:rsidP="005C6186">
      <w:pPr>
        <w:jc w:val="both"/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P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1339A9" w:rsidRDefault="00FE3E95" w:rsidP="00FE3E95">
      <w:pPr>
        <w:jc w:val="both"/>
        <w:rPr>
          <w:rFonts w:asciiTheme="majorHAnsi" w:eastAsia="TimesNewRomanPSMT" w:hAnsiTheme="majorHAnsi" w:cs="Arial"/>
          <w:b/>
          <w:bCs/>
        </w:rPr>
      </w:pPr>
      <w:r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5) </w:t>
      </w:r>
      <w:r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1339A9">
        <w:rPr>
          <w:rFonts w:asciiTheme="majorHAnsi" w:eastAsia="TimesNewRomanPSMT" w:hAnsiTheme="majorHAnsi" w:cs="Arial"/>
          <w:b/>
          <w:bCs/>
        </w:rPr>
        <w:t>радови на кречењу унутрашњих зидова установе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AB5F65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испостављања </w:t>
            </w:r>
            <w:r w:rsidR="00AB5F65">
              <w:rPr>
                <w:rFonts w:asciiTheme="majorHAnsi" w:eastAsia="TimesNewRomanPSMT" w:hAnsiTheme="majorHAnsi" w:cs="Arial"/>
                <w:bCs/>
                <w:lang w:val="sr-Cyrl-CS"/>
              </w:rPr>
              <w:t>исправних рачуна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>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1339A9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извођења радова</w:t>
            </w:r>
            <w:r w:rsidR="003B730F">
              <w:rPr>
                <w:rFonts w:asciiTheme="majorHAnsi" w:eastAsia="TimesNewRomanPSMT" w:hAnsiTheme="majorHAnsi" w:cs="Arial"/>
                <w:bCs/>
                <w:lang w:val="ru-RU"/>
              </w:rPr>
              <w:t xml:space="preserve"> не може бити дужи од 30 дана</w:t>
            </w:r>
            <w:r w:rsidR="001339A9">
              <w:rPr>
                <w:rFonts w:asciiTheme="majorHAnsi" w:eastAsia="TimesNewRomanPSMT" w:hAnsiTheme="majorHAnsi" w:cs="Arial"/>
                <w:bCs/>
                <w:lang w:val="ru-RU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3B730F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</w:t>
            </w:r>
            <w:r w:rsidR="003B730F">
              <w:rPr>
                <w:rFonts w:asciiTheme="majorHAnsi" w:eastAsia="TimesNewRomanPSMT" w:hAnsiTheme="majorHAnsi" w:cs="Arial"/>
                <w:bCs/>
                <w:lang w:val="ru-RU"/>
              </w:rPr>
              <w:t>___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</w:t>
            </w:r>
            <w:r w:rsidR="003B730F">
              <w:rPr>
                <w:rFonts w:asciiTheme="majorHAnsi" w:eastAsia="TimesNewRomanPSMT" w:hAnsiTheme="majorHAnsi" w:cs="Arial"/>
                <w:bCs/>
                <w:lang w:val="ru-RU"/>
              </w:rPr>
              <w:t xml:space="preserve"> 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дана од дана </w:t>
            </w:r>
            <w:r w:rsidR="003B730F">
              <w:rPr>
                <w:rFonts w:asciiTheme="majorHAnsi" w:eastAsia="TimesNewRomanPSMT" w:hAnsiTheme="majorHAnsi" w:cs="Arial"/>
                <w:bCs/>
                <w:lang w:val="ru-RU"/>
              </w:rPr>
              <w:t xml:space="preserve"> закључења уговора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22D82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Место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r w:rsidR="00422D82">
              <w:rPr>
                <w:rFonts w:asciiTheme="majorHAnsi" w:eastAsia="TimesNewRomanPSMT" w:hAnsiTheme="majorHAnsi" w:cs="Arial"/>
                <w:bCs/>
              </w:rPr>
              <w:t>(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извођења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радова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или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испоруке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добра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или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извршења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услуге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571650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>Установа за одрасле и старије «Кучево»ул. Браће Ивковић бб, Кучево</w:t>
            </w:r>
          </w:p>
        </w:tc>
      </w:tr>
    </w:tbl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2D7F15" w:rsidRDefault="00FE3E95" w:rsidP="00FE3E95">
      <w:pPr>
        <w:jc w:val="both"/>
        <w:rPr>
          <w:rFonts w:asciiTheme="majorHAnsi" w:hAnsiTheme="majorHAnsi" w:cs="Arial"/>
          <w:i/>
          <w:iCs/>
        </w:rPr>
        <w:sectPr w:rsidR="002D7F15" w:rsidSect="0068066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0869B2" w:rsidRDefault="000869B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B641E9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t xml:space="preserve">ОБРАЗАЦ СТРУКТУРЕ ЦЕНЕ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5"/>
        <w:gridCol w:w="503"/>
        <w:gridCol w:w="990"/>
        <w:gridCol w:w="1530"/>
        <w:gridCol w:w="1440"/>
        <w:gridCol w:w="1980"/>
        <w:gridCol w:w="1980"/>
      </w:tblGrid>
      <w:tr w:rsidR="001339A9" w:rsidRPr="000D1017" w:rsidTr="00FB53DA">
        <w:tc>
          <w:tcPr>
            <w:tcW w:w="5635" w:type="dxa"/>
            <w:shd w:val="clear" w:color="auto" w:fill="auto"/>
          </w:tcPr>
          <w:p w:rsidR="001339A9" w:rsidRPr="001B4094" w:rsidRDefault="001339A9" w:rsidP="001B4094">
            <w:pPr>
              <w:pStyle w:val="TableContents"/>
              <w:jc w:val="center"/>
              <w:rPr>
                <w:rFonts w:ascii="Arial" w:hAnsi="Arial" w:cs="Arial"/>
              </w:rPr>
            </w:pPr>
            <w:r w:rsidRPr="000D1017">
              <w:rPr>
                <w:rFonts w:ascii="Arial" w:hAnsi="Arial" w:cs="Arial"/>
                <w:lang w:val="sr-Cyrl-CS"/>
              </w:rPr>
              <w:t>Предмет Н</w:t>
            </w:r>
            <w:r w:rsidR="001B4094">
              <w:rPr>
                <w:rFonts w:ascii="Arial" w:hAnsi="Arial" w:cs="Arial"/>
              </w:rPr>
              <w:t>абавке</w:t>
            </w:r>
          </w:p>
        </w:tc>
        <w:tc>
          <w:tcPr>
            <w:tcW w:w="503" w:type="dxa"/>
            <w:shd w:val="clear" w:color="auto" w:fill="auto"/>
          </w:tcPr>
          <w:p w:rsidR="001339A9" w:rsidRDefault="001339A9" w:rsidP="00FB53DA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1339A9" w:rsidRPr="00A20884" w:rsidRDefault="001339A9" w:rsidP="00FB53D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J.M.</w:t>
            </w:r>
          </w:p>
        </w:tc>
        <w:tc>
          <w:tcPr>
            <w:tcW w:w="99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Количина</w:t>
            </w:r>
          </w:p>
        </w:tc>
        <w:tc>
          <w:tcPr>
            <w:tcW w:w="153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Јединична цена без ПДВ-а</w:t>
            </w:r>
          </w:p>
        </w:tc>
        <w:tc>
          <w:tcPr>
            <w:tcW w:w="144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Јединична цена са ПДВ-ом</w:t>
            </w: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 xml:space="preserve">Укупна цена  без ПДВ-а </w:t>
            </w: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Укупна цена са ПДВ-ом</w:t>
            </w:r>
          </w:p>
        </w:tc>
      </w:tr>
      <w:tr w:rsidR="001339A9" w:rsidRPr="000D1017" w:rsidTr="00FB53DA">
        <w:trPr>
          <w:trHeight w:val="291"/>
        </w:trPr>
        <w:tc>
          <w:tcPr>
            <w:tcW w:w="5635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503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5 (2</w:t>
            </w:r>
            <w:r w:rsidRPr="000D1017">
              <w:rPr>
                <w:rFonts w:ascii="Arial" w:hAnsi="Arial" w:cs="Arial"/>
              </w:rPr>
              <w:t>x3)</w:t>
            </w: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jc w:val="center"/>
              <w:rPr>
                <w:rFonts w:ascii="Arial" w:hAnsi="Arial" w:cs="Arial"/>
                <w:i/>
                <w:iCs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6 (2</w:t>
            </w:r>
            <w:r w:rsidRPr="000D1017">
              <w:rPr>
                <w:rFonts w:ascii="Arial" w:hAnsi="Arial" w:cs="Arial"/>
              </w:rPr>
              <w:t>x4)</w:t>
            </w:r>
          </w:p>
        </w:tc>
      </w:tr>
      <w:tr w:rsidR="001339A9" w:rsidRPr="000D1017" w:rsidTr="00FB53DA">
        <w:trPr>
          <w:trHeight w:val="773"/>
        </w:trPr>
        <w:tc>
          <w:tcPr>
            <w:tcW w:w="5635" w:type="dxa"/>
            <w:shd w:val="clear" w:color="auto" w:fill="auto"/>
          </w:tcPr>
          <w:p w:rsidR="00EC48CD" w:rsidRDefault="00EC48CD" w:rsidP="00EC48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8F5622">
              <w:rPr>
                <w:rFonts w:ascii="Arial" w:eastAsia="Times New Roman" w:hAnsi="Arial" w:cs="Arial"/>
                <w:b/>
                <w:bCs/>
                <w:iCs/>
              </w:rPr>
              <w:t>1.1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глетованих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зидова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у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собама</w:t>
            </w:r>
            <w:proofErr w:type="spellEnd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ходницима</w:t>
            </w:r>
            <w:proofErr w:type="spellEnd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купатилима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полудисперзивним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у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избору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инвеститора.Све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брусити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импрегнирати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мања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оштећења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са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флекама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остругати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опрати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глетовати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бази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акрилата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више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Предбојити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исправити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тонираним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дисперзионим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а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затим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полудисперзивном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први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други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Обрачун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м2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обојене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>.</w:t>
            </w:r>
          </w:p>
          <w:p w:rsidR="001339A9" w:rsidRPr="00541BCE" w:rsidRDefault="00EC48CD" w:rsidP="00EC48C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У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укључити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материјала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>.</w:t>
            </w:r>
          </w:p>
        </w:tc>
        <w:tc>
          <w:tcPr>
            <w:tcW w:w="503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1BCE">
              <w:rPr>
                <w:rFonts w:ascii="Arial" w:hAnsi="Arial" w:cs="Arial"/>
                <w:b/>
                <w:bCs/>
                <w:i/>
                <w:iCs/>
              </w:rPr>
              <w:t>м²</w:t>
            </w:r>
          </w:p>
        </w:tc>
        <w:tc>
          <w:tcPr>
            <w:tcW w:w="990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4D38E0" w:rsidP="004D38E0">
            <w:pPr>
              <w:ind w:left="-108" w:right="-108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2.088,59</w:t>
            </w:r>
          </w:p>
        </w:tc>
        <w:tc>
          <w:tcPr>
            <w:tcW w:w="153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339A9" w:rsidRPr="000D1017" w:rsidTr="00FB53DA">
        <w:trPr>
          <w:trHeight w:val="728"/>
        </w:trPr>
        <w:tc>
          <w:tcPr>
            <w:tcW w:w="5635" w:type="dxa"/>
            <w:shd w:val="clear" w:color="auto" w:fill="auto"/>
          </w:tcPr>
          <w:p w:rsidR="004D38E0" w:rsidRDefault="004D38E0" w:rsidP="004D38E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8F5622">
              <w:rPr>
                <w:rFonts w:ascii="Arial" w:eastAsia="Times New Roman" w:hAnsi="Arial" w:cs="Arial"/>
                <w:b/>
                <w:bCs/>
                <w:iCs/>
              </w:rPr>
              <w:t>1.2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зидова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соба</w:t>
            </w:r>
            <w:proofErr w:type="spellEnd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ходника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еко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водоперивом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gramStart"/>
            <w:r w:rsidRPr="00541BCE">
              <w:rPr>
                <w:rFonts w:ascii="Arial" w:eastAsia="Times New Roman" w:hAnsi="Arial" w:cs="Arial"/>
                <w:bCs/>
                <w:iCs/>
              </w:rPr>
              <w:t>( „</w:t>
            </w:r>
            <w:proofErr w:type="spellStart"/>
            <w:proofErr w:type="gramEnd"/>
            <w:r w:rsidRPr="00541BCE">
              <w:rPr>
                <w:rFonts w:ascii="Arial" w:eastAsia="Times New Roman" w:hAnsi="Arial" w:cs="Arial"/>
                <w:bCs/>
                <w:iCs/>
              </w:rPr>
              <w:t>масна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цокла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“).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Извршити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основно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кречење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импрегнирање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подлоге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превући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брусити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надкитовати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еко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водоперивом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први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еко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водоперивом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други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пут.Боја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избору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инвеститора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Обрачун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м2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обојене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>.</w:t>
            </w:r>
          </w:p>
          <w:p w:rsidR="001339A9" w:rsidRPr="00541BCE" w:rsidRDefault="004D38E0" w:rsidP="004D38E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У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укључити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материјала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>.</w:t>
            </w:r>
          </w:p>
        </w:tc>
        <w:tc>
          <w:tcPr>
            <w:tcW w:w="503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1BCE">
              <w:rPr>
                <w:rFonts w:ascii="Arial" w:hAnsi="Arial" w:cs="Arial"/>
                <w:b/>
                <w:bCs/>
                <w:i/>
                <w:iCs/>
              </w:rPr>
              <w:t>м²</w:t>
            </w: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0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4D38E0" w:rsidP="00C85621">
            <w:pPr>
              <w:ind w:right="-108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1938,45</w:t>
            </w:r>
          </w:p>
        </w:tc>
        <w:tc>
          <w:tcPr>
            <w:tcW w:w="153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1339A9" w:rsidRPr="000D1017" w:rsidTr="00FB53DA">
        <w:trPr>
          <w:trHeight w:val="728"/>
        </w:trPr>
        <w:tc>
          <w:tcPr>
            <w:tcW w:w="5635" w:type="dxa"/>
            <w:shd w:val="clear" w:color="auto" w:fill="auto"/>
          </w:tcPr>
          <w:p w:rsidR="00C85621" w:rsidRDefault="00C85621" w:rsidP="00C856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8F5622">
              <w:rPr>
                <w:rFonts w:ascii="Arial" w:eastAsia="Times New Roman" w:hAnsi="Arial" w:cs="Arial"/>
                <w:b/>
                <w:bCs/>
                <w:iCs/>
              </w:rPr>
              <w:t>1.3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глетованих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плафона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централног</w:t>
            </w:r>
            <w:proofErr w:type="spellEnd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ходника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полудисперзивним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у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избору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инвеститора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Све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брусити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импрегнирати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мања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оштећења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Лечење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флека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плафонима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бази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акрилата.Површине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са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флекама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остругати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опрати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lastRenderedPageBreak/>
              <w:t>глетовати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бази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акрилата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више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Предбојити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исправити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тонираним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дисперзионим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а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зат</w:t>
            </w:r>
            <w:r>
              <w:rPr>
                <w:rFonts w:ascii="Arial" w:eastAsia="Times New Roman" w:hAnsi="Arial" w:cs="Arial"/>
                <w:bCs/>
                <w:iCs/>
              </w:rPr>
              <w:t>им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полудисперзивном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бојо</w:t>
            </w:r>
            <w:r w:rsidRPr="00541BCE">
              <w:rPr>
                <w:rFonts w:ascii="Arial" w:eastAsia="Times New Roman" w:hAnsi="Arial" w:cs="Arial"/>
                <w:bCs/>
                <w:iCs/>
              </w:rPr>
              <w:t>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први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други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Обрачун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м2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обојене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>.</w:t>
            </w:r>
          </w:p>
          <w:p w:rsidR="001339A9" w:rsidRPr="00541BCE" w:rsidRDefault="00C85621" w:rsidP="00C8562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У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укључити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материјала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>.</w:t>
            </w:r>
          </w:p>
        </w:tc>
        <w:tc>
          <w:tcPr>
            <w:tcW w:w="503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1BCE">
              <w:rPr>
                <w:rFonts w:ascii="Arial" w:hAnsi="Arial" w:cs="Arial"/>
                <w:b/>
                <w:bCs/>
                <w:i/>
                <w:iCs/>
              </w:rPr>
              <w:lastRenderedPageBreak/>
              <w:t>м²</w:t>
            </w: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0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C85621" w:rsidRDefault="00C85621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714,04</w:t>
            </w:r>
          </w:p>
        </w:tc>
        <w:tc>
          <w:tcPr>
            <w:tcW w:w="153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1339A9" w:rsidRPr="000D1017" w:rsidTr="00FB53DA">
        <w:trPr>
          <w:trHeight w:val="728"/>
        </w:trPr>
        <w:tc>
          <w:tcPr>
            <w:tcW w:w="5635" w:type="dxa"/>
            <w:shd w:val="clear" w:color="auto" w:fill="auto"/>
          </w:tcPr>
          <w:p w:rsidR="00C85621" w:rsidRPr="00541BCE" w:rsidRDefault="00C85621" w:rsidP="00C856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8F5622">
              <w:rPr>
                <w:rFonts w:ascii="Arial" w:eastAsia="Times New Roman" w:hAnsi="Arial" w:cs="Arial"/>
                <w:b/>
                <w:bCs/>
                <w:iCs/>
              </w:rPr>
              <w:lastRenderedPageBreak/>
              <w:t>1.4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глетованих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зидова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централног</w:t>
            </w:r>
            <w:proofErr w:type="spellEnd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ходника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полудисперзивним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у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избору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инвеститора.Све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брусити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импрегнирати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мања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оштећења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Лечење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флека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зидовима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плафонима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бази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акрилата.Површине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са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флекама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остругати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опрати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глетовати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бојама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бази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акрилата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више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Предбојити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исправити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тонираним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дисперзионим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а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затим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полудисперзивном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бојокм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први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други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Обрачун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м2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обојене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>.</w:t>
            </w:r>
          </w:p>
          <w:p w:rsidR="001339A9" w:rsidRPr="00541BCE" w:rsidRDefault="00C85621" w:rsidP="00C85621">
            <w:pPr>
              <w:rPr>
                <w:rFonts w:ascii="Arial" w:hAnsi="Arial" w:cs="Arial"/>
                <w:bCs/>
                <w:iCs/>
              </w:rPr>
            </w:pPr>
            <w:r w:rsidRPr="00C260EF">
              <w:rPr>
                <w:rFonts w:ascii="Arial" w:eastAsia="Times New Roman" w:hAnsi="Arial" w:cs="Arial"/>
                <w:bCs/>
                <w:iCs/>
              </w:rPr>
              <w:t xml:space="preserve">У </w:t>
            </w:r>
            <w:proofErr w:type="spellStart"/>
            <w:r w:rsidRPr="00C260EF"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 w:rsidRPr="00C260EF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C260EF">
              <w:rPr>
                <w:rFonts w:ascii="Arial" w:eastAsia="Times New Roman" w:hAnsi="Arial" w:cs="Arial"/>
                <w:bCs/>
                <w:iCs/>
              </w:rPr>
              <w:t>укључити</w:t>
            </w:r>
            <w:proofErr w:type="spellEnd"/>
            <w:r w:rsidRPr="00C260EF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C260EF"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 w:rsidRPr="00C260EF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C260EF">
              <w:rPr>
                <w:rFonts w:ascii="Arial" w:eastAsia="Times New Roman" w:hAnsi="Arial" w:cs="Arial"/>
                <w:bCs/>
                <w:iCs/>
              </w:rPr>
              <w:t>материјала</w:t>
            </w:r>
            <w:proofErr w:type="spellEnd"/>
            <w:r w:rsidRPr="00C260EF">
              <w:rPr>
                <w:rFonts w:ascii="Arial" w:eastAsia="Times New Roman" w:hAnsi="Arial" w:cs="Arial"/>
                <w:bCs/>
                <w:iCs/>
              </w:rPr>
              <w:t>.</w:t>
            </w:r>
          </w:p>
        </w:tc>
        <w:tc>
          <w:tcPr>
            <w:tcW w:w="503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1BCE">
              <w:rPr>
                <w:rFonts w:ascii="Arial" w:hAnsi="Arial" w:cs="Arial"/>
                <w:b/>
                <w:bCs/>
                <w:i/>
                <w:iCs/>
              </w:rPr>
              <w:t>м²</w:t>
            </w: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0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154A49" w:rsidRDefault="00154A49" w:rsidP="00154A49">
            <w:pPr>
              <w:ind w:right="-108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1078,59</w:t>
            </w:r>
          </w:p>
        </w:tc>
        <w:tc>
          <w:tcPr>
            <w:tcW w:w="153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1339A9" w:rsidRPr="000D1017" w:rsidTr="00FB53DA">
        <w:trPr>
          <w:trHeight w:val="728"/>
        </w:trPr>
        <w:tc>
          <w:tcPr>
            <w:tcW w:w="5635" w:type="dxa"/>
            <w:shd w:val="clear" w:color="auto" w:fill="auto"/>
          </w:tcPr>
          <w:p w:rsidR="00154A49" w:rsidRDefault="00154A49" w:rsidP="00154A4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</w:rPr>
            </w:pPr>
            <w:r w:rsidRPr="007C6DE1">
              <w:rPr>
                <w:rFonts w:ascii="Arial" w:eastAsia="Times New Roman" w:hAnsi="Arial" w:cs="Arial"/>
                <w:b/>
                <w:bCs/>
                <w:iCs/>
              </w:rPr>
              <w:t>1.5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зидова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централног</w:t>
            </w:r>
            <w:proofErr w:type="spellEnd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proofErr w:type="spellStart"/>
            <w:proofErr w:type="gramStart"/>
            <w:r w:rsidRPr="00541BCE">
              <w:rPr>
                <w:rFonts w:ascii="Arial" w:eastAsia="Times New Roman" w:hAnsi="Arial" w:cs="Arial"/>
                <w:b/>
                <w:bCs/>
                <w:iCs/>
              </w:rPr>
              <w:t>ходника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еко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водоперивом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( „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масна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цокла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“).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Извршити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основно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кречење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глетовање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импрегнирање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подлоге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превући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китом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брусити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,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надкитовати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еко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водоперивом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први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Бојити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еко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водоперивом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бојом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други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пут.Боја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тон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избору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пројектанта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.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Обрачун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м2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обојене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541BCE">
              <w:rPr>
                <w:rFonts w:ascii="Arial" w:eastAsia="Times New Roman" w:hAnsi="Arial" w:cs="Arial"/>
                <w:bCs/>
                <w:iCs/>
              </w:rPr>
              <w:t>површине</w:t>
            </w:r>
            <w:proofErr w:type="spellEnd"/>
            <w:r w:rsidRPr="00541BCE">
              <w:rPr>
                <w:rFonts w:ascii="Arial" w:eastAsia="Times New Roman" w:hAnsi="Arial" w:cs="Arial"/>
                <w:bCs/>
                <w:iCs/>
              </w:rPr>
              <w:t>.</w:t>
            </w:r>
          </w:p>
          <w:p w:rsidR="001339A9" w:rsidRPr="00541BCE" w:rsidRDefault="00154A49" w:rsidP="00154A49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У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укључити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цену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</w:rPr>
              <w:t>материјала</w:t>
            </w:r>
            <w:proofErr w:type="spellEnd"/>
            <w:r>
              <w:rPr>
                <w:rFonts w:ascii="Arial" w:eastAsia="Times New Roman" w:hAnsi="Arial" w:cs="Arial"/>
                <w:bCs/>
                <w:iCs/>
              </w:rPr>
              <w:t>.</w:t>
            </w:r>
          </w:p>
        </w:tc>
        <w:tc>
          <w:tcPr>
            <w:tcW w:w="503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1BCE">
              <w:rPr>
                <w:rFonts w:ascii="Arial" w:hAnsi="Arial" w:cs="Arial"/>
                <w:b/>
                <w:bCs/>
                <w:i/>
                <w:iCs/>
              </w:rPr>
              <w:t>м²</w:t>
            </w: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0" w:type="dxa"/>
            <w:shd w:val="clear" w:color="auto" w:fill="auto"/>
          </w:tcPr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541BCE" w:rsidRDefault="001339A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39A9" w:rsidRPr="00154A49" w:rsidRDefault="00154A49" w:rsidP="00FB53D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667,13</w:t>
            </w:r>
          </w:p>
        </w:tc>
        <w:tc>
          <w:tcPr>
            <w:tcW w:w="153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1339A9" w:rsidRPr="000D1017" w:rsidTr="00FB53DA">
        <w:tc>
          <w:tcPr>
            <w:tcW w:w="10098" w:type="dxa"/>
            <w:gridSpan w:val="5"/>
            <w:shd w:val="clear" w:color="auto" w:fill="auto"/>
          </w:tcPr>
          <w:p w:rsidR="001339A9" w:rsidRDefault="001339A9" w:rsidP="00FB53DA">
            <w:pPr>
              <w:pStyle w:val="TableContents"/>
              <w:snapToGrid w:val="0"/>
              <w:rPr>
                <w:rFonts w:ascii="Arial" w:hAnsi="Arial" w:cs="Arial"/>
                <w:b/>
                <w:i/>
              </w:rPr>
            </w:pPr>
          </w:p>
          <w:p w:rsidR="001339A9" w:rsidRDefault="001339A9" w:rsidP="00FB53DA">
            <w:pPr>
              <w:pStyle w:val="TableContents"/>
              <w:snapToGrid w:val="0"/>
              <w:rPr>
                <w:rFonts w:ascii="Arial" w:hAnsi="Arial" w:cs="Arial"/>
                <w:b/>
                <w:i/>
              </w:rPr>
            </w:pPr>
            <w:r w:rsidRPr="000D1017">
              <w:rPr>
                <w:rFonts w:ascii="Arial" w:hAnsi="Arial" w:cs="Arial"/>
                <w:b/>
                <w:i/>
              </w:rPr>
              <w:t>УКУПНО:</w:t>
            </w:r>
          </w:p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shd w:val="clear" w:color="auto" w:fill="C6D9F1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C6D9F1"/>
          </w:tcPr>
          <w:p w:rsidR="001339A9" w:rsidRPr="000D1017" w:rsidRDefault="001339A9" w:rsidP="00FB53DA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422D82" w:rsidRPr="00422D82" w:rsidRDefault="00422D8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lastRenderedPageBreak/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>- ПДВ се посебно обрачунава у процентуалном износу од 20%;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p w:rsidR="00D8259E" w:rsidRPr="00B64815" w:rsidRDefault="00D8259E" w:rsidP="00D8259E">
      <w:pPr>
        <w:jc w:val="both"/>
        <w:rPr>
          <w:rFonts w:asciiTheme="majorHAnsi" w:hAnsiTheme="majorHAnsi" w:cs="Arial"/>
          <w:b/>
        </w:rPr>
      </w:pPr>
    </w:p>
    <w:tbl>
      <w:tblPr>
        <w:tblW w:w="9851" w:type="dxa"/>
        <w:tblInd w:w="-103" w:type="dxa"/>
        <w:tblLook w:val="0000"/>
      </w:tblPr>
      <w:tblGrid>
        <w:gridCol w:w="1931"/>
        <w:gridCol w:w="3571"/>
        <w:gridCol w:w="4349"/>
      </w:tblGrid>
      <w:tr w:rsidR="00D8259E" w:rsidRPr="00B64815" w:rsidTr="004E05E5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F15" w:rsidRDefault="002D7F15" w:rsidP="00D8259E">
      <w:pPr>
        <w:ind w:left="360"/>
        <w:rPr>
          <w:rFonts w:asciiTheme="majorHAnsi" w:hAnsiTheme="majorHAnsi" w:cs="Arial"/>
          <w:bCs/>
          <w:iCs/>
          <w:lang w:val="sr-Cyrl-CS"/>
        </w:rPr>
        <w:sectPr w:rsidR="002D7F15" w:rsidSect="002D7F15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  <w:bCs/>
        </w:rPr>
      </w:pPr>
      <w:r w:rsidRPr="00B64815">
        <w:rPr>
          <w:rFonts w:asciiTheme="majorHAnsi" w:hAnsiTheme="majorHAnsi" w:cs="Arial"/>
          <w:b/>
          <w:bCs/>
        </w:rPr>
        <w:t xml:space="preserve">ОБРАЗАЦ ИЗЈАВЕ О ИСПУЊЕНОСТИ </w:t>
      </w:r>
      <w:r w:rsidR="00805ECE" w:rsidRPr="00B64815">
        <w:rPr>
          <w:rFonts w:asciiTheme="majorHAnsi" w:hAnsiTheme="majorHAnsi" w:cs="Arial"/>
          <w:b/>
          <w:bCs/>
        </w:rPr>
        <w:t>КРИ</w:t>
      </w:r>
      <w:r w:rsidR="00DD66F0" w:rsidRPr="00B64815">
        <w:rPr>
          <w:rFonts w:asciiTheme="majorHAnsi" w:hAnsiTheme="majorHAnsi" w:cs="Arial"/>
          <w:b/>
          <w:bCs/>
        </w:rPr>
        <w:t>ТЕРИЈУМА ЗА КВАЛИТАТИВНИ ИЗБОР ПРИВРЕДНОПГ СУБЈЕКТА</w:t>
      </w:r>
      <w:r w:rsidRPr="00B64815">
        <w:rPr>
          <w:rFonts w:asciiTheme="majorHAnsi" w:hAnsiTheme="majorHAnsi" w:cs="Arial"/>
          <w:b/>
          <w:bCs/>
        </w:rPr>
        <w:t xml:space="preserve"> ЗА УЧЕШЋЕ У ПОСТУПКУ НАБАВКЕ -  </w:t>
      </w:r>
      <w:proofErr w:type="spellStart"/>
      <w:r w:rsidR="003A7E77" w:rsidRPr="00B64815">
        <w:rPr>
          <w:rFonts w:asciiTheme="majorHAnsi" w:hAnsiTheme="majorHAnsi" w:cs="Arial"/>
          <w:b/>
          <w:bCs/>
        </w:rPr>
        <w:t>чл</w:t>
      </w:r>
      <w:proofErr w:type="spellEnd"/>
      <w:r w:rsidR="003A7E77" w:rsidRPr="00B64815">
        <w:rPr>
          <w:rFonts w:asciiTheme="majorHAnsi" w:hAnsiTheme="majorHAnsi" w:cs="Arial"/>
          <w:b/>
          <w:bCs/>
        </w:rPr>
        <w:t>. 118 ЗЈН</w:t>
      </w:r>
    </w:p>
    <w:p w:rsidR="00FC069C" w:rsidRPr="00B64815" w:rsidRDefault="00FC069C" w:rsidP="00FC069C">
      <w:pPr>
        <w:jc w:val="both"/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Под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пуном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материјалном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кривичном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одговорношћу</w:t>
      </w:r>
      <w:proofErr w:type="spellEnd"/>
      <w:r w:rsidRPr="00B64815">
        <w:rPr>
          <w:rFonts w:asciiTheme="majorHAnsi" w:hAnsiTheme="majorHAnsi" w:cs="Arial"/>
        </w:rPr>
        <w:t xml:space="preserve">, </w:t>
      </w:r>
      <w:r w:rsidRPr="00B64815">
        <w:rPr>
          <w:rFonts w:asciiTheme="majorHAnsi" w:hAnsiTheme="majorHAnsi" w:cs="Arial"/>
          <w:lang w:val="sr-Cyrl-CS"/>
        </w:rPr>
        <w:t xml:space="preserve">као заступник понуђача, </w:t>
      </w:r>
      <w:proofErr w:type="spellStart"/>
      <w:r w:rsidRPr="00B64815">
        <w:rPr>
          <w:rFonts w:asciiTheme="majorHAnsi" w:hAnsiTheme="majorHAnsi" w:cs="Arial"/>
        </w:rPr>
        <w:t>дајем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следећу</w:t>
      </w:r>
      <w:proofErr w:type="spellEnd"/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</w:rPr>
      </w:pPr>
      <w:r w:rsidRPr="00B64815">
        <w:rPr>
          <w:rFonts w:asciiTheme="majorHAnsi" w:hAnsiTheme="majorHAnsi" w:cs="Arial"/>
          <w:b/>
        </w:rPr>
        <w:t>И З Ј А В У</w:t>
      </w:r>
    </w:p>
    <w:p w:rsidR="00D70C35" w:rsidRPr="00B64815" w:rsidRDefault="004F0803" w:rsidP="004F0803">
      <w:pPr>
        <w:jc w:val="both"/>
        <w:rPr>
          <w:rFonts w:asciiTheme="majorHAnsi" w:hAnsiTheme="majorHAnsi" w:cs="Arial"/>
          <w:iCs/>
          <w:lang w:val="sr-Cyrl-CS"/>
        </w:rPr>
      </w:pPr>
      <w:r w:rsidRPr="00B64815">
        <w:rPr>
          <w:rFonts w:asciiTheme="majorHAnsi" w:hAnsiTheme="majorHAnsi" w:cs="Arial"/>
        </w:rPr>
        <w:t xml:space="preserve">1) </w:t>
      </w:r>
      <w:proofErr w:type="spellStart"/>
      <w:r w:rsidR="00360D32" w:rsidRPr="00B64815">
        <w:rPr>
          <w:rFonts w:asciiTheme="majorHAnsi" w:hAnsiTheme="majorHAnsi" w:cs="Arial"/>
        </w:rPr>
        <w:t>Привредни</w:t>
      </w:r>
      <w:proofErr w:type="spellEnd"/>
      <w:r w:rsidR="00360D32" w:rsidRPr="00B64815">
        <w:rPr>
          <w:rFonts w:asciiTheme="majorHAnsi" w:hAnsiTheme="majorHAnsi" w:cs="Arial"/>
        </w:rPr>
        <w:t xml:space="preserve"> </w:t>
      </w:r>
      <w:proofErr w:type="spellStart"/>
      <w:r w:rsidR="00360D32" w:rsidRPr="00B64815">
        <w:rPr>
          <w:rFonts w:asciiTheme="majorHAnsi" w:hAnsiTheme="majorHAnsi" w:cs="Arial"/>
        </w:rPr>
        <w:t>субјект</w:t>
      </w:r>
      <w:proofErr w:type="spellEnd"/>
      <w:r w:rsidR="00D70C35" w:rsidRPr="00B64815">
        <w:rPr>
          <w:rFonts w:asciiTheme="majorHAnsi" w:hAnsiTheme="majorHAnsi" w:cs="Arial"/>
        </w:rPr>
        <w:t xml:space="preserve"> _________________________________________________</w:t>
      </w:r>
      <w:r w:rsidR="00360D32" w:rsidRPr="00B64815">
        <w:rPr>
          <w:rFonts w:asciiTheme="majorHAnsi" w:hAnsiTheme="majorHAnsi" w:cs="Arial"/>
        </w:rPr>
        <w:t xml:space="preserve"> </w:t>
      </w:r>
      <w:r w:rsidR="00FC069C" w:rsidRPr="00B64815">
        <w:rPr>
          <w:rFonts w:asciiTheme="majorHAnsi" w:hAnsiTheme="majorHAnsi" w:cs="Arial"/>
        </w:rPr>
        <w:t xml:space="preserve"> </w:t>
      </w:r>
      <w:r w:rsidR="00D70C35" w:rsidRPr="00B64815">
        <w:rPr>
          <w:rFonts w:asciiTheme="majorHAnsi" w:hAnsiTheme="majorHAnsi" w:cs="Arial"/>
        </w:rPr>
        <w:t xml:space="preserve">у </w:t>
      </w:r>
      <w:proofErr w:type="spellStart"/>
      <w:r w:rsidR="00D70C35" w:rsidRPr="00B64815">
        <w:rPr>
          <w:rFonts w:asciiTheme="majorHAnsi" w:hAnsiTheme="majorHAnsi" w:cs="Arial"/>
        </w:rPr>
        <w:t>понуди</w:t>
      </w:r>
      <w:proofErr w:type="spellEnd"/>
      <w:r w:rsidR="00D70C35" w:rsidRPr="00B64815">
        <w:rPr>
          <w:rFonts w:asciiTheme="majorHAnsi" w:hAnsiTheme="majorHAnsi" w:cs="Arial"/>
        </w:rPr>
        <w:t xml:space="preserve"> </w:t>
      </w:r>
      <w:proofErr w:type="spellStart"/>
      <w:r w:rsidR="00D70C35" w:rsidRPr="00B64815">
        <w:rPr>
          <w:rFonts w:asciiTheme="majorHAnsi" w:hAnsiTheme="majorHAnsi" w:cs="Arial"/>
        </w:rPr>
        <w:t>потврђује</w:t>
      </w:r>
      <w:proofErr w:type="spellEnd"/>
      <w:r w:rsidR="00D70C35" w:rsidRPr="00B64815">
        <w:rPr>
          <w:rFonts w:asciiTheme="majorHAnsi" w:hAnsiTheme="majorHAnsi" w:cs="Arial"/>
        </w:rPr>
        <w:t>:</w:t>
      </w:r>
    </w:p>
    <w:p w:rsidR="002F6EB2" w:rsidRPr="00B64815" w:rsidRDefault="00210F3F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- </w:t>
      </w:r>
      <w:proofErr w:type="spellStart"/>
      <w:r w:rsidRPr="00B64815">
        <w:rPr>
          <w:rFonts w:asciiTheme="majorHAnsi" w:hAnsiTheme="majorHAnsi" w:cs="Arial"/>
        </w:rPr>
        <w:t>Не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постоје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основи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искључење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поступка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набавке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из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члана</w:t>
      </w:r>
      <w:proofErr w:type="spellEnd"/>
      <w:r w:rsidR="003A7E77" w:rsidRPr="00B64815">
        <w:rPr>
          <w:rFonts w:asciiTheme="majorHAnsi" w:hAnsiTheme="majorHAnsi" w:cs="Arial"/>
        </w:rPr>
        <w:t xml:space="preserve"> 111. и 112.</w:t>
      </w:r>
      <w:r w:rsidR="004F0803" w:rsidRPr="00B64815">
        <w:rPr>
          <w:rFonts w:asciiTheme="majorHAnsi" w:hAnsiTheme="majorHAnsi" w:cs="Arial"/>
        </w:rPr>
        <w:t xml:space="preserve"> ЗЈН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2) </w:t>
      </w:r>
      <w:proofErr w:type="spellStart"/>
      <w:r w:rsidRPr="00B64815">
        <w:rPr>
          <w:rFonts w:asciiTheme="majorHAnsi" w:hAnsiTheme="majorHAnsi" w:cs="Arial"/>
        </w:rPr>
        <w:t>испуњава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, и </w:t>
      </w:r>
      <w:proofErr w:type="spellStart"/>
      <w:r w:rsidRPr="00B64815">
        <w:rPr>
          <w:rFonts w:asciiTheme="majorHAnsi" w:hAnsiTheme="majorHAnsi" w:cs="Arial"/>
        </w:rPr>
        <w:t>то</w:t>
      </w:r>
      <w:proofErr w:type="spellEnd"/>
      <w:r w:rsidRPr="00B64815">
        <w:rPr>
          <w:rFonts w:asciiTheme="majorHAnsi" w:hAnsiTheme="majorHAnsi" w:cs="Arial"/>
        </w:rPr>
        <w:t>: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(1) </w:t>
      </w:r>
      <w:proofErr w:type="spellStart"/>
      <w:r w:rsidR="00EE403E" w:rsidRPr="00B64815">
        <w:rPr>
          <w:rFonts w:asciiTheme="majorHAnsi" w:hAnsiTheme="majorHAnsi" w:cs="Arial"/>
        </w:rPr>
        <w:t>да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је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уписан</w:t>
      </w:r>
      <w:proofErr w:type="spellEnd"/>
      <w:r w:rsidR="00EE403E" w:rsidRPr="00B64815">
        <w:rPr>
          <w:rFonts w:asciiTheme="majorHAnsi" w:hAnsiTheme="majorHAnsi" w:cs="Arial"/>
        </w:rPr>
        <w:t xml:space="preserve"> у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привредних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субјеката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или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други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одговарајући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r w:rsidR="0051450E" w:rsidRPr="00B64815">
        <w:rPr>
          <w:rFonts w:asciiTheme="majorHAnsi" w:hAnsiTheme="majorHAnsi" w:cs="Arial"/>
        </w:rPr>
        <w:t>(АПР-а</w:t>
      </w:r>
      <w:r w:rsidR="00006BFF" w:rsidRPr="00B64815">
        <w:rPr>
          <w:rFonts w:asciiTheme="majorHAnsi" w:hAnsiTheme="majorHAnsi" w:cs="Arial"/>
        </w:rPr>
        <w:t xml:space="preserve"> и </w:t>
      </w:r>
      <w:proofErr w:type="spellStart"/>
      <w:r w:rsidR="00006BFF" w:rsidRPr="00B64815">
        <w:rPr>
          <w:rFonts w:asciiTheme="majorHAnsi" w:hAnsiTheme="majorHAnsi" w:cs="Arial"/>
        </w:rPr>
        <w:t>др</w:t>
      </w:r>
      <w:proofErr w:type="spellEnd"/>
      <w:r w:rsidR="00006BFF" w:rsidRPr="00B64815">
        <w:rPr>
          <w:rFonts w:asciiTheme="majorHAnsi" w:hAnsiTheme="majorHAnsi" w:cs="Arial"/>
        </w:rPr>
        <w:t>.</w:t>
      </w:r>
      <w:r w:rsidR="0051450E" w:rsidRPr="00B64815">
        <w:rPr>
          <w:rFonts w:asciiTheme="majorHAnsi" w:hAnsiTheme="majorHAnsi" w:cs="Arial"/>
        </w:rPr>
        <w:t>).</w:t>
      </w:r>
    </w:p>
    <w:p w:rsidR="00114F2B" w:rsidRPr="00B64815" w:rsidRDefault="00935D62" w:rsidP="00210F3F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претходно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наведени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подаци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тачни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истинити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потпуности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свестан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последица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лажног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приказивања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чињеница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  <w:r w:rsidRPr="00B6481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могућности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захтев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наручиоца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без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одлагања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законом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прописаном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року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доставим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доказе</w:t>
      </w:r>
      <w:proofErr w:type="spellEnd"/>
      <w:r w:rsidRPr="00B64815">
        <w:rPr>
          <w:rFonts w:asciiTheme="majorHAnsi" w:hAnsiTheme="majorHAnsi" w:cs="Arial"/>
        </w:rPr>
        <w:t xml:space="preserve"> о </w:t>
      </w:r>
      <w:proofErr w:type="spellStart"/>
      <w:r w:rsidRPr="00B64815">
        <w:rPr>
          <w:rFonts w:asciiTheme="majorHAnsi" w:hAnsiTheme="majorHAnsi" w:cs="Arial"/>
        </w:rPr>
        <w:t>испуњености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квалитативни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</w:p>
    <w:p w:rsidR="00FC069C" w:rsidRPr="00B64815" w:rsidRDefault="00FC069C" w:rsidP="00FC069C">
      <w:pPr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Место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              </w:t>
      </w:r>
      <w:proofErr w:type="spellStart"/>
      <w:r w:rsidRPr="00B64815">
        <w:rPr>
          <w:rFonts w:asciiTheme="majorHAnsi" w:hAnsiTheme="majorHAnsi" w:cs="Arial"/>
        </w:rPr>
        <w:t>Понуђач</w:t>
      </w:r>
      <w:proofErr w:type="spellEnd"/>
      <w:r w:rsidRPr="00B64815">
        <w:rPr>
          <w:rFonts w:asciiTheme="majorHAnsi" w:hAnsiTheme="majorHAnsi" w:cs="Arial"/>
        </w:rPr>
        <w:t>:</w:t>
      </w:r>
    </w:p>
    <w:p w:rsidR="00FC069C" w:rsidRPr="00B64815" w:rsidRDefault="00FC069C" w:rsidP="00FC069C">
      <w:pPr>
        <w:rPr>
          <w:rFonts w:asciiTheme="majorHAnsi" w:hAnsiTheme="majorHAnsi" w:cs="Arial"/>
          <w:b/>
          <w:bCs/>
          <w:i/>
        </w:rPr>
      </w:pPr>
      <w:proofErr w:type="spellStart"/>
      <w:r w:rsidRPr="00B64815">
        <w:rPr>
          <w:rFonts w:asciiTheme="majorHAnsi" w:hAnsiTheme="majorHAnsi" w:cs="Arial"/>
        </w:rPr>
        <w:t>Датум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_____________________                                                        </w:t>
      </w:r>
    </w:p>
    <w:p w:rsidR="00FC069C" w:rsidRPr="00B64815" w:rsidRDefault="00FC069C" w:rsidP="00FC069C">
      <w:pPr>
        <w:pStyle w:val="BodyText2"/>
        <w:spacing w:line="100" w:lineRule="atLeast"/>
        <w:jc w:val="both"/>
        <w:rPr>
          <w:rFonts w:asciiTheme="majorHAnsi" w:hAnsiTheme="majorHAnsi" w:cs="Arial"/>
          <w:b/>
          <w:bCs/>
          <w:i/>
          <w:color w:val="auto"/>
          <w:sz w:val="22"/>
          <w:szCs w:val="22"/>
        </w:rPr>
      </w:pPr>
    </w:p>
    <w:p w:rsidR="00FC069C" w:rsidRPr="00B64815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</w:rPr>
      </w:pPr>
      <w:proofErr w:type="spellStart"/>
      <w:r w:rsidRPr="00B64815">
        <w:rPr>
          <w:rFonts w:asciiTheme="majorHAnsi" w:hAnsiTheme="majorHAnsi" w:cs="Arial"/>
          <w:b/>
          <w:bCs/>
          <w:u w:val="single"/>
        </w:rPr>
        <w:t>Напомена</w:t>
      </w:r>
      <w:proofErr w:type="spellEnd"/>
      <w:r w:rsidRPr="00B64815">
        <w:rPr>
          <w:rFonts w:asciiTheme="majorHAnsi" w:hAnsiTheme="majorHAnsi" w:cs="Arial"/>
          <w:b/>
          <w:bCs/>
          <w:u w:val="single"/>
        </w:rPr>
        <w:t xml:space="preserve">: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Уколико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понуду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подноси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група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  <w:u w:val="single"/>
        </w:rPr>
        <w:t>привредних</w:t>
      </w:r>
      <w:proofErr w:type="spellEnd"/>
      <w:r w:rsidR="00935D62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</w:rPr>
        <w:t>субјеката</w:t>
      </w:r>
      <w:proofErr w:type="spellEnd"/>
      <w:r w:rsidR="00935D62" w:rsidRPr="00B64815">
        <w:rPr>
          <w:rFonts w:asciiTheme="majorHAnsi" w:hAnsiTheme="majorHAnsi" w:cs="Arial"/>
          <w:bCs/>
          <w:iCs/>
        </w:rPr>
        <w:t xml:space="preserve"> </w:t>
      </w:r>
      <w:r w:rsidR="00210F4D" w:rsidRPr="00B64815">
        <w:rPr>
          <w:rFonts w:asciiTheme="majorHAnsi" w:hAnsiTheme="majorHAnsi" w:cs="Arial"/>
          <w:bCs/>
          <w:iCs/>
        </w:rPr>
        <w:t xml:space="preserve">у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понуди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доставља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засебна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изјава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сваког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члана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групе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привредних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  <w:u w:val="single"/>
        </w:rPr>
        <w:t>субјеката</w:t>
      </w:r>
      <w:proofErr w:type="spellEnd"/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  <w:r w:rsidR="000C0AC1" w:rsidRPr="00B64815">
        <w:rPr>
          <w:rFonts w:asciiTheme="majorHAnsi" w:hAnsiTheme="majorHAnsi" w:cs="Arial"/>
          <w:bCs/>
          <w:iCs/>
          <w:u w:val="single"/>
        </w:rPr>
        <w:t xml:space="preserve">.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Ако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привредни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субјект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намерава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део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уговора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повери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подизвођачу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или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користи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капацитете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других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субјеката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дужан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је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за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подизвођача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односно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субјекта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чије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капацитете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користи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достави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засебну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изјаву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.</w:t>
      </w:r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</w:p>
    <w:p w:rsidR="00FC069C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P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C069C" w:rsidRPr="001776F2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/>
          <w:iCs/>
          <w:color w:val="FF0000"/>
        </w:rPr>
      </w:pPr>
    </w:p>
    <w:p w:rsidR="002C2AAE" w:rsidRPr="001776F2" w:rsidRDefault="002C2AAE" w:rsidP="00D8259E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C7E4D" w:rsidRPr="008C7F43" w:rsidRDefault="000C7E4D" w:rsidP="000C7E4D">
      <w:pPr>
        <w:jc w:val="both"/>
        <w:rPr>
          <w:rFonts w:asciiTheme="majorHAnsi" w:eastAsia="TimesNewRomanPSMT" w:hAnsiTheme="majorHAnsi" w:cs="Arial"/>
          <w:bCs/>
          <w:lang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подноси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непосредно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путем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proofErr w:type="gramStart"/>
      <w:r w:rsidRPr="000B455C">
        <w:rPr>
          <w:rFonts w:asciiTheme="majorHAnsi" w:eastAsia="TimesNewRomanPSMT" w:hAnsiTheme="majorHAnsi" w:cs="Arial"/>
          <w:bCs/>
        </w:rPr>
        <w:t>поште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r w:rsidR="008C7F43">
        <w:rPr>
          <w:rFonts w:asciiTheme="majorHAnsi" w:eastAsia="TimesNewRomanPSMT" w:hAnsiTheme="majorHAnsi" w:cs="Arial"/>
          <w:bCs/>
          <w:lang/>
        </w:rPr>
        <w:t xml:space="preserve"> или</w:t>
      </w:r>
      <w:proofErr w:type="gramEnd"/>
      <w:r w:rsidR="008C7F43">
        <w:rPr>
          <w:rFonts w:asciiTheme="majorHAnsi" w:eastAsia="TimesNewRomanPSMT" w:hAnsiTheme="majorHAnsi" w:cs="Arial"/>
          <w:bCs/>
          <w:lang/>
        </w:rPr>
        <w:t xml:space="preserve">  електронске поште.</w:t>
      </w:r>
    </w:p>
    <w:p w:rsidR="000C7E4D" w:rsidRPr="000B455C" w:rsidRDefault="000C7E4D" w:rsidP="000C7E4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i/>
          <w:iCs/>
          <w:color w:val="FF0000"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доставити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адресу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ЦЕНТАР ЗА СОЦИЈАЛНИ РАД ЗА ОПШТИНУ КУЧЕВО, 12240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Кучево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ул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.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Светог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Саве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213</w:t>
      </w:r>
      <w:r w:rsidRPr="000B455C">
        <w:rPr>
          <w:rFonts w:asciiTheme="majorHAnsi" w:hAnsiTheme="majorHAnsi" w:cs="Arial"/>
          <w:i/>
          <w:i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назнаком</w:t>
      </w:r>
      <w:proofErr w:type="spellEnd"/>
      <w:proofErr w:type="gramStart"/>
      <w:r w:rsidRPr="000B455C">
        <w:rPr>
          <w:rFonts w:asciiTheme="majorHAnsi" w:eastAsia="TimesNewRomanPSMT" w:hAnsiTheme="majorHAnsi" w:cs="Arial"/>
          <w:bCs/>
        </w:rPr>
        <w:t xml:space="preserve">: </w:t>
      </w:r>
      <w:r w:rsidRPr="000B455C">
        <w:rPr>
          <w:rFonts w:asciiTheme="majorHAnsi" w:eastAsia="TimesNewRomanPS-BoldMT" w:hAnsiTheme="majorHAnsi" w:cs="Arial"/>
          <w:b/>
          <w:bCs/>
        </w:rPr>
        <w:t>,,</w:t>
      </w:r>
      <w:proofErr w:type="spellStart"/>
      <w:proofErr w:type="gramEnd"/>
      <w:r w:rsidRPr="000B455C">
        <w:rPr>
          <w:rFonts w:asciiTheme="majorHAnsi" w:eastAsia="TimesNewRomanPS-BoldMT" w:hAnsiTheme="majorHAnsi" w:cs="Arial"/>
          <w:b/>
          <w:bCs/>
        </w:rPr>
        <w:t>Понуда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за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јавну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набавку</w:t>
      </w:r>
      <w:proofErr w:type="spellEnd"/>
      <w:r w:rsidRPr="000B455C">
        <w:rPr>
          <w:rFonts w:asciiTheme="majorHAnsi" w:hAnsiTheme="majorHAnsi" w:cs="Arial"/>
          <w:b/>
        </w:rPr>
        <w:t xml:space="preserve"> </w:t>
      </w:r>
      <w:proofErr w:type="spellStart"/>
      <w:r w:rsidR="00040D81">
        <w:rPr>
          <w:rFonts w:asciiTheme="majorHAnsi" w:hAnsiTheme="majorHAnsi" w:cs="Arial"/>
          <w:b/>
        </w:rPr>
        <w:t>радова</w:t>
      </w:r>
      <w:proofErr w:type="spellEnd"/>
      <w:r w:rsidR="00040D81">
        <w:rPr>
          <w:rFonts w:asciiTheme="majorHAnsi" w:hAnsiTheme="majorHAnsi" w:cs="Arial"/>
          <w:b/>
        </w:rPr>
        <w:t xml:space="preserve"> </w:t>
      </w:r>
      <w:proofErr w:type="spellStart"/>
      <w:r w:rsidR="00040D81">
        <w:rPr>
          <w:rFonts w:asciiTheme="majorHAnsi" w:hAnsiTheme="majorHAnsi" w:cs="Arial"/>
          <w:b/>
        </w:rPr>
        <w:t>на</w:t>
      </w:r>
      <w:proofErr w:type="spellEnd"/>
      <w:r w:rsidR="00040D81">
        <w:rPr>
          <w:rFonts w:asciiTheme="majorHAnsi" w:hAnsiTheme="majorHAnsi" w:cs="Arial"/>
          <w:b/>
        </w:rPr>
        <w:t xml:space="preserve"> </w:t>
      </w:r>
      <w:proofErr w:type="spellStart"/>
      <w:r w:rsidR="00040D81">
        <w:rPr>
          <w:rFonts w:asciiTheme="majorHAnsi" w:hAnsiTheme="majorHAnsi" w:cs="Arial"/>
          <w:b/>
        </w:rPr>
        <w:t>кречењу</w:t>
      </w:r>
      <w:proofErr w:type="spellEnd"/>
      <w:r w:rsidR="00040D81">
        <w:rPr>
          <w:rFonts w:asciiTheme="majorHAnsi" w:hAnsiTheme="majorHAnsi" w:cs="Arial"/>
          <w:b/>
        </w:rPr>
        <w:t xml:space="preserve"> унутрашњих зидова установе</w:t>
      </w:r>
      <w:r w:rsidRPr="000B455C">
        <w:rPr>
          <w:rFonts w:asciiTheme="majorHAnsi" w:hAnsiTheme="majorHAnsi" w:cs="Arial"/>
          <w:b/>
          <w:noProof/>
          <w:lang w:val="sr-Cyrl-CS"/>
        </w:rPr>
        <w:t>“</w:t>
      </w:r>
      <w:r w:rsidRPr="000B455C">
        <w:rPr>
          <w:rFonts w:asciiTheme="majorHAnsi" w:hAnsiTheme="majorHAnsi" w:cs="Arial"/>
          <w:b/>
        </w:rPr>
        <w:t>,</w:t>
      </w:r>
      <w:r w:rsidRPr="000B455C">
        <w:rPr>
          <w:rFonts w:asciiTheme="majorHAnsi" w:eastAsia="TimesNewRomanPS-BoldMT" w:hAnsiTheme="majorHAnsi" w:cs="Arial"/>
          <w:b/>
          <w:bCs/>
          <w:color w:val="002060"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</w:t>
      </w:r>
      <w:r w:rsidR="00040D81">
        <w:rPr>
          <w:rFonts w:asciiTheme="majorHAnsi" w:eastAsia="TimesNewRomanPS-BoldMT" w:hAnsiTheme="majorHAnsi" w:cs="Arial"/>
          <w:b/>
          <w:bCs/>
        </w:rPr>
        <w:t>абавка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бр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. </w:t>
      </w:r>
      <w:r w:rsidR="00040D81">
        <w:rPr>
          <w:rFonts w:asciiTheme="majorHAnsi" w:eastAsia="TimesNewRomanPS-BoldMT" w:hAnsiTheme="majorHAnsi" w:cs="Arial"/>
          <w:b/>
          <w:bCs/>
        </w:rPr>
        <w:t xml:space="preserve">Р-3/2021 </w:t>
      </w:r>
      <w:r w:rsidRPr="000B455C">
        <w:rPr>
          <w:rFonts w:asciiTheme="majorHAnsi" w:eastAsia="TimesNewRomanPS-BoldMT" w:hAnsiTheme="majorHAnsi" w:cs="Arial"/>
          <w:b/>
          <w:bCs/>
        </w:rPr>
        <w:t>НЕ ОТВАРАТИ”.</w:t>
      </w:r>
      <w:r w:rsidRPr="000B455C">
        <w:rPr>
          <w:rFonts w:asciiTheme="majorHAnsi" w:hAnsiTheme="majorHAnsi" w:cs="Arial"/>
          <w:color w:val="FF0000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Понуда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сматра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благовременом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уколико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је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примљена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од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стране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наручиоца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040D81">
        <w:rPr>
          <w:rFonts w:asciiTheme="majorHAnsi" w:hAnsiTheme="majorHAnsi" w:cs="Arial"/>
          <w:lang w:val="sr-Cyrl-CS"/>
        </w:rPr>
        <w:t>14.07.2021</w:t>
      </w:r>
      <w:r w:rsidRPr="000B455C">
        <w:rPr>
          <w:rFonts w:asciiTheme="majorHAnsi" w:hAnsiTheme="majorHAnsi" w:cs="Arial"/>
        </w:rPr>
        <w:t>.</w:t>
      </w:r>
      <w:proofErr w:type="spellStart"/>
      <w:r w:rsidRPr="000B455C">
        <w:rPr>
          <w:rFonts w:asciiTheme="majorHAnsi" w:hAnsiTheme="majorHAnsi" w:cs="Arial"/>
        </w:rPr>
        <w:t>године</w:t>
      </w:r>
      <w:proofErr w:type="spellEnd"/>
      <w:r w:rsidRPr="000B455C">
        <w:rPr>
          <w:rFonts w:asciiTheme="majorHAnsi" w:hAnsiTheme="majorHAnsi" w:cs="Arial"/>
          <w:i/>
          <w:iCs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040D81">
        <w:rPr>
          <w:rFonts w:asciiTheme="majorHAnsi" w:hAnsiTheme="majorHAnsi" w:cs="Arial"/>
        </w:rPr>
        <w:t>12</w:t>
      </w:r>
      <w:proofErr w:type="gramStart"/>
      <w:r w:rsidR="00040D81">
        <w:rPr>
          <w:rFonts w:asciiTheme="majorHAnsi" w:hAnsiTheme="majorHAnsi" w:cs="Arial"/>
        </w:rPr>
        <w:t>,00</w:t>
      </w:r>
      <w:proofErr w:type="gramEnd"/>
      <w:r w:rsidR="00040D81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часова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Pr="000B455C">
        <w:rPr>
          <w:rFonts w:asciiTheme="majorHAnsi" w:hAnsiTheme="majorHAnsi" w:cs="Arial"/>
          <w:i/>
          <w:iCs/>
        </w:rPr>
        <w:t>.</w:t>
      </w:r>
      <w:r w:rsidRPr="000B455C">
        <w:rPr>
          <w:rFonts w:asciiTheme="majorHAnsi" w:hAnsiTheme="majorHAnsi" w:cs="Arial"/>
          <w:i/>
          <w:iCs/>
          <w:color w:val="FF0000"/>
        </w:rPr>
        <w:t xml:space="preserve"> </w:t>
      </w:r>
    </w:p>
    <w:p w:rsidR="001776F2" w:rsidRPr="001D0625" w:rsidRDefault="001D0625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Особа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за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контакт</w:t>
      </w:r>
      <w:proofErr w:type="spellEnd"/>
      <w:r>
        <w:rPr>
          <w:rFonts w:asciiTheme="majorHAnsi" w:hAnsiTheme="majorHAnsi" w:cs="Times New Roman"/>
        </w:rPr>
        <w:t xml:space="preserve">: </w:t>
      </w:r>
      <w:proofErr w:type="spellStart"/>
      <w:r w:rsidR="00040D81">
        <w:rPr>
          <w:rFonts w:asciiTheme="majorHAnsi" w:hAnsiTheme="majorHAnsi" w:cs="Times New Roman"/>
        </w:rPr>
        <w:t>Предраг</w:t>
      </w:r>
      <w:proofErr w:type="spellEnd"/>
      <w:r w:rsidR="00040D81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="00040D81">
        <w:rPr>
          <w:rFonts w:asciiTheme="majorHAnsi" w:hAnsiTheme="majorHAnsi" w:cs="Times New Roman"/>
        </w:rPr>
        <w:t>Живановић</w:t>
      </w:r>
      <w:proofErr w:type="spellEnd"/>
      <w:r w:rsidR="00040D8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,</w:t>
      </w:r>
      <w:proofErr w:type="gramEnd"/>
      <w:r>
        <w:rPr>
          <w:rFonts w:asciiTheme="majorHAnsi" w:hAnsiTheme="majorHAnsi" w:cs="Times New Roman"/>
        </w:rPr>
        <w:t xml:space="preserve">  email: centarkucevo</w:t>
      </w:r>
      <w:r w:rsidR="00040D81">
        <w:rPr>
          <w:rFonts w:asciiTheme="majorHAnsi" w:hAnsiTheme="majorHAnsi" w:cs="Times New Roman"/>
        </w:rPr>
        <w:t>.jn</w:t>
      </w:r>
      <w:r>
        <w:rPr>
          <w:rFonts w:asciiTheme="majorHAnsi" w:hAnsiTheme="majorHAnsi" w:cs="Times New Roman"/>
        </w:rPr>
        <w:t>@gmail.com</w:t>
      </w:r>
    </w:p>
    <w:sectPr w:rsidR="001776F2" w:rsidRPr="001D0625" w:rsidSect="002D7F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9275A"/>
    <w:rsid w:val="00001E96"/>
    <w:rsid w:val="00006BFF"/>
    <w:rsid w:val="000157AD"/>
    <w:rsid w:val="00040D81"/>
    <w:rsid w:val="00053EBA"/>
    <w:rsid w:val="00061A0E"/>
    <w:rsid w:val="000869B2"/>
    <w:rsid w:val="000944C4"/>
    <w:rsid w:val="000B34AF"/>
    <w:rsid w:val="000B3C71"/>
    <w:rsid w:val="000B455C"/>
    <w:rsid w:val="000C0AC1"/>
    <w:rsid w:val="000C7E4D"/>
    <w:rsid w:val="000F6F26"/>
    <w:rsid w:val="00114F2B"/>
    <w:rsid w:val="00115E4F"/>
    <w:rsid w:val="00124EC2"/>
    <w:rsid w:val="001273D7"/>
    <w:rsid w:val="001339A9"/>
    <w:rsid w:val="00140963"/>
    <w:rsid w:val="00152477"/>
    <w:rsid w:val="00154A49"/>
    <w:rsid w:val="00161D49"/>
    <w:rsid w:val="00162D9C"/>
    <w:rsid w:val="00163EBD"/>
    <w:rsid w:val="00171F73"/>
    <w:rsid w:val="001776F2"/>
    <w:rsid w:val="00185E79"/>
    <w:rsid w:val="001B230F"/>
    <w:rsid w:val="001B4094"/>
    <w:rsid w:val="001B7533"/>
    <w:rsid w:val="001C10FB"/>
    <w:rsid w:val="001D0625"/>
    <w:rsid w:val="001F6CEB"/>
    <w:rsid w:val="00210F3F"/>
    <w:rsid w:val="00210F4D"/>
    <w:rsid w:val="002259E5"/>
    <w:rsid w:val="0023562C"/>
    <w:rsid w:val="002436A6"/>
    <w:rsid w:val="0025040A"/>
    <w:rsid w:val="00276C19"/>
    <w:rsid w:val="00277A07"/>
    <w:rsid w:val="002A1505"/>
    <w:rsid w:val="002A4469"/>
    <w:rsid w:val="002A4A26"/>
    <w:rsid w:val="002A7170"/>
    <w:rsid w:val="002B7A3D"/>
    <w:rsid w:val="002C2AAE"/>
    <w:rsid w:val="002D7F15"/>
    <w:rsid w:val="002F4A24"/>
    <w:rsid w:val="002F6EB2"/>
    <w:rsid w:val="0033549F"/>
    <w:rsid w:val="00360D32"/>
    <w:rsid w:val="00360DB1"/>
    <w:rsid w:val="00365E30"/>
    <w:rsid w:val="0036654A"/>
    <w:rsid w:val="00370CD8"/>
    <w:rsid w:val="0039275A"/>
    <w:rsid w:val="003A7E77"/>
    <w:rsid w:val="003B0F06"/>
    <w:rsid w:val="003B1AE9"/>
    <w:rsid w:val="003B730F"/>
    <w:rsid w:val="003D1DDA"/>
    <w:rsid w:val="003D67BD"/>
    <w:rsid w:val="003E17C2"/>
    <w:rsid w:val="003F2E12"/>
    <w:rsid w:val="003F6366"/>
    <w:rsid w:val="004103A4"/>
    <w:rsid w:val="00422635"/>
    <w:rsid w:val="00422D82"/>
    <w:rsid w:val="00434A44"/>
    <w:rsid w:val="004452B5"/>
    <w:rsid w:val="00476ED7"/>
    <w:rsid w:val="004818C4"/>
    <w:rsid w:val="00492AB2"/>
    <w:rsid w:val="00493F17"/>
    <w:rsid w:val="004A371F"/>
    <w:rsid w:val="004A3C2E"/>
    <w:rsid w:val="004C4D2E"/>
    <w:rsid w:val="004C658D"/>
    <w:rsid w:val="004D38E0"/>
    <w:rsid w:val="004F0803"/>
    <w:rsid w:val="005032DA"/>
    <w:rsid w:val="0051450E"/>
    <w:rsid w:val="00526146"/>
    <w:rsid w:val="00535876"/>
    <w:rsid w:val="005409FC"/>
    <w:rsid w:val="00550F01"/>
    <w:rsid w:val="00550FBA"/>
    <w:rsid w:val="00571650"/>
    <w:rsid w:val="00590249"/>
    <w:rsid w:val="00595A6C"/>
    <w:rsid w:val="005A08C7"/>
    <w:rsid w:val="005B308C"/>
    <w:rsid w:val="005C1BFA"/>
    <w:rsid w:val="005C6186"/>
    <w:rsid w:val="005D3D17"/>
    <w:rsid w:val="005D5AA9"/>
    <w:rsid w:val="005E131F"/>
    <w:rsid w:val="005F7182"/>
    <w:rsid w:val="00605B0A"/>
    <w:rsid w:val="00630E24"/>
    <w:rsid w:val="00635B8D"/>
    <w:rsid w:val="00643755"/>
    <w:rsid w:val="00665198"/>
    <w:rsid w:val="00665CE5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34FD7"/>
    <w:rsid w:val="0074663B"/>
    <w:rsid w:val="00783160"/>
    <w:rsid w:val="007857E2"/>
    <w:rsid w:val="007A609E"/>
    <w:rsid w:val="007E282F"/>
    <w:rsid w:val="007E44CE"/>
    <w:rsid w:val="00805ECE"/>
    <w:rsid w:val="0080749D"/>
    <w:rsid w:val="00812651"/>
    <w:rsid w:val="0081607E"/>
    <w:rsid w:val="008321EA"/>
    <w:rsid w:val="0084451A"/>
    <w:rsid w:val="00851FCD"/>
    <w:rsid w:val="00873E51"/>
    <w:rsid w:val="00875B11"/>
    <w:rsid w:val="00892F68"/>
    <w:rsid w:val="00893DC3"/>
    <w:rsid w:val="00896EDB"/>
    <w:rsid w:val="008C7F43"/>
    <w:rsid w:val="0090232D"/>
    <w:rsid w:val="00925BE8"/>
    <w:rsid w:val="00927277"/>
    <w:rsid w:val="00935D62"/>
    <w:rsid w:val="00955321"/>
    <w:rsid w:val="00995257"/>
    <w:rsid w:val="009B1723"/>
    <w:rsid w:val="009C40A5"/>
    <w:rsid w:val="009E7ECD"/>
    <w:rsid w:val="009F0591"/>
    <w:rsid w:val="00A45B14"/>
    <w:rsid w:val="00A52732"/>
    <w:rsid w:val="00A60CF5"/>
    <w:rsid w:val="00A808E5"/>
    <w:rsid w:val="00A91808"/>
    <w:rsid w:val="00AA7294"/>
    <w:rsid w:val="00AB52CE"/>
    <w:rsid w:val="00AB5F65"/>
    <w:rsid w:val="00AC0247"/>
    <w:rsid w:val="00AC32FE"/>
    <w:rsid w:val="00AC4872"/>
    <w:rsid w:val="00B13473"/>
    <w:rsid w:val="00B139D6"/>
    <w:rsid w:val="00B17169"/>
    <w:rsid w:val="00B21F0E"/>
    <w:rsid w:val="00B36B4D"/>
    <w:rsid w:val="00B641E9"/>
    <w:rsid w:val="00B64815"/>
    <w:rsid w:val="00B86C5F"/>
    <w:rsid w:val="00BB11E7"/>
    <w:rsid w:val="00BC7883"/>
    <w:rsid w:val="00BD150A"/>
    <w:rsid w:val="00BF00CF"/>
    <w:rsid w:val="00C30E19"/>
    <w:rsid w:val="00C31BDB"/>
    <w:rsid w:val="00C567FC"/>
    <w:rsid w:val="00C8239E"/>
    <w:rsid w:val="00C85621"/>
    <w:rsid w:val="00CA114A"/>
    <w:rsid w:val="00CB5AA4"/>
    <w:rsid w:val="00CC1A17"/>
    <w:rsid w:val="00CD1232"/>
    <w:rsid w:val="00CD5E63"/>
    <w:rsid w:val="00CD7F94"/>
    <w:rsid w:val="00CF4FA2"/>
    <w:rsid w:val="00D034AA"/>
    <w:rsid w:val="00D17D8E"/>
    <w:rsid w:val="00D260DC"/>
    <w:rsid w:val="00D27F66"/>
    <w:rsid w:val="00D70C35"/>
    <w:rsid w:val="00D73670"/>
    <w:rsid w:val="00D74057"/>
    <w:rsid w:val="00D8259E"/>
    <w:rsid w:val="00DB18BE"/>
    <w:rsid w:val="00DD1C9F"/>
    <w:rsid w:val="00DD3C4F"/>
    <w:rsid w:val="00DD66F0"/>
    <w:rsid w:val="00E01813"/>
    <w:rsid w:val="00E07CF7"/>
    <w:rsid w:val="00E4304F"/>
    <w:rsid w:val="00E73F6B"/>
    <w:rsid w:val="00E80C7C"/>
    <w:rsid w:val="00EA439C"/>
    <w:rsid w:val="00EC48CD"/>
    <w:rsid w:val="00EE403E"/>
    <w:rsid w:val="00F029EB"/>
    <w:rsid w:val="00F24AC0"/>
    <w:rsid w:val="00F30ADB"/>
    <w:rsid w:val="00F506E7"/>
    <w:rsid w:val="00F672FE"/>
    <w:rsid w:val="00F71C03"/>
    <w:rsid w:val="00F9200F"/>
    <w:rsid w:val="00F97653"/>
    <w:rsid w:val="00FB0047"/>
    <w:rsid w:val="00FC069C"/>
    <w:rsid w:val="00FC3986"/>
    <w:rsid w:val="00FC7227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1339A9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EA96-B1A2-4A61-BA4D-F75936B1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74</cp:revision>
  <cp:lastPrinted>2014-04-23T07:49:00Z</cp:lastPrinted>
  <dcterms:created xsi:type="dcterms:W3CDTF">2014-04-23T06:45:00Z</dcterms:created>
  <dcterms:modified xsi:type="dcterms:W3CDTF">2021-07-12T09:56:00Z</dcterms:modified>
</cp:coreProperties>
</file>